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553DC0" w:rsidRPr="00C0121F" w:rsidRDefault="00553DC0" w:rsidP="00553DC0">
      <w:pPr>
        <w:pStyle w:val="NormaleWeb"/>
        <w:jc w:val="both"/>
        <w:rPr>
          <w:rFonts w:ascii="Times New Roman" w:hAnsi="Times New Roman"/>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partecipazione </w:t>
      </w:r>
      <w:bookmarkStart w:id="0" w:name="_GoBack"/>
      <w:r w:rsidR="008A200A">
        <w:rPr>
          <w:rFonts w:ascii="Times New Roman" w:eastAsia="Times New Roman" w:hAnsi="Times New Roman"/>
          <w:b/>
          <w:sz w:val="24"/>
          <w:szCs w:val="24"/>
        </w:rPr>
        <w:t xml:space="preserve">procedura </w:t>
      </w:r>
      <w:r w:rsidRPr="00553DC0">
        <w:rPr>
          <w:rFonts w:ascii="Times New Roman" w:hAnsi="Times New Roman"/>
          <w:b/>
          <w:sz w:val="24"/>
          <w:szCs w:val="24"/>
        </w:rPr>
        <w:t xml:space="preserve">aperta </w:t>
      </w:r>
      <w:r w:rsidR="00B629D4" w:rsidRPr="00D72411">
        <w:rPr>
          <w:rFonts w:ascii="Times New Roman" w:hAnsi="Times New Roman"/>
          <w:b/>
          <w:w w:val="105"/>
          <w:sz w:val="24"/>
          <w:szCs w:val="24"/>
        </w:rPr>
        <w:t>interventi di efficientamento energetico, adeguamento degli impianti tecnici e miglioramento dell'accessibilità, da realizzarsi sull'edificio scolastic</w:t>
      </w:r>
      <w:r w:rsidR="00B629D4">
        <w:rPr>
          <w:rFonts w:ascii="Times New Roman" w:hAnsi="Times New Roman"/>
          <w:b/>
          <w:w w:val="105"/>
          <w:sz w:val="24"/>
          <w:szCs w:val="24"/>
        </w:rPr>
        <w:t>o che ospita la scuola materna San M</w:t>
      </w:r>
      <w:r w:rsidR="00B629D4" w:rsidRPr="00D72411">
        <w:rPr>
          <w:rFonts w:ascii="Times New Roman" w:hAnsi="Times New Roman"/>
          <w:b/>
          <w:w w:val="105"/>
          <w:sz w:val="24"/>
          <w:szCs w:val="24"/>
        </w:rPr>
        <w:t>agno</w:t>
      </w:r>
      <w:r w:rsidR="00B629D4">
        <w:rPr>
          <w:rFonts w:ascii="Times New Roman" w:hAnsi="Times New Roman"/>
          <w:b/>
          <w:w w:val="105"/>
          <w:sz w:val="24"/>
          <w:szCs w:val="24"/>
        </w:rPr>
        <w:t>. CUP:</w:t>
      </w:r>
      <w:r w:rsidR="00B629D4" w:rsidRPr="00DE5993">
        <w:rPr>
          <w:sz w:val="22"/>
          <w:szCs w:val="22"/>
        </w:rPr>
        <w:t xml:space="preserve"> </w:t>
      </w:r>
      <w:r w:rsidR="00B629D4" w:rsidRPr="00DE5993">
        <w:rPr>
          <w:rFonts w:ascii="Times New Roman" w:hAnsi="Times New Roman"/>
          <w:b/>
          <w:w w:val="105"/>
          <w:sz w:val="24"/>
          <w:szCs w:val="24"/>
        </w:rPr>
        <w:t>G77H21000470006</w:t>
      </w:r>
      <w:r w:rsidR="00B629D4">
        <w:rPr>
          <w:rFonts w:ascii="Times New Roman" w:hAnsi="Times New Roman"/>
          <w:b/>
          <w:w w:val="105"/>
          <w:sz w:val="24"/>
          <w:szCs w:val="24"/>
        </w:rPr>
        <w:t xml:space="preserve">  </w:t>
      </w:r>
      <w:r w:rsidR="00B629D4" w:rsidRPr="00D72411">
        <w:rPr>
          <w:rFonts w:ascii="Times New Roman" w:hAnsi="Times New Roman"/>
          <w:b/>
          <w:w w:val="105"/>
          <w:sz w:val="24"/>
          <w:szCs w:val="24"/>
        </w:rPr>
        <w:t>CIG:</w:t>
      </w:r>
      <w:r w:rsidR="00B629D4">
        <w:rPr>
          <w:rFonts w:ascii="Times New Roman" w:hAnsi="Times New Roman"/>
          <w:b/>
          <w:spacing w:val="-11"/>
          <w:w w:val="105"/>
          <w:sz w:val="24"/>
          <w:szCs w:val="24"/>
        </w:rPr>
        <w:t xml:space="preserve"> </w:t>
      </w:r>
      <w:r w:rsidR="00B629D4" w:rsidRPr="00DE5993">
        <w:rPr>
          <w:rFonts w:ascii="Times New Roman" w:hAnsi="Times New Roman"/>
          <w:b/>
          <w:spacing w:val="-11"/>
          <w:w w:val="105"/>
          <w:sz w:val="24"/>
          <w:szCs w:val="24"/>
        </w:rPr>
        <w:t>8702351F36</w:t>
      </w:r>
    </w:p>
    <w:bookmarkEnd w:id="0"/>
    <w:p w:rsidR="00671791" w:rsidRPr="00553DC0" w:rsidRDefault="00671791" w:rsidP="00553DC0">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4"/>
          <w:lang w:eastAsia="it-IT"/>
        </w:rPr>
        <w:tab/>
      </w:r>
      <w:r w:rsidRPr="00553DC0">
        <w:rPr>
          <w:rFonts w:ascii="Times New Roman" w:eastAsia="Times New Roman" w:hAnsi="Times New Roman"/>
          <w:b/>
          <w:sz w:val="24"/>
          <w:szCs w:val="20"/>
          <w:lang w:eastAsia="it-IT"/>
        </w:rPr>
        <w:t>Spett.le</w:t>
      </w:r>
      <w:r w:rsidR="00553DC0" w:rsidRPr="00553DC0">
        <w:rPr>
          <w:rFonts w:ascii="Times New Roman" w:eastAsia="Times New Roman" w:hAnsi="Times New Roman"/>
          <w:b/>
          <w:sz w:val="24"/>
          <w:szCs w:val="20"/>
          <w:lang w:eastAsia="it-IT"/>
        </w:rPr>
        <w:t xml:space="preserve"> Centrale Unica di Committenza</w:t>
      </w:r>
    </w:p>
    <w:p w:rsidR="00553DC0" w:rsidRPr="00553DC0" w:rsidRDefault="00553DC0" w:rsidP="00553DC0">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553DC0">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044024">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04458"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604458">
        <w:rPr>
          <w:rFonts w:ascii="Times New Roman" w:eastAsia="Times New Roman" w:hAnsi="Times New Roman"/>
          <w:noProof/>
          <w:sz w:val="20"/>
          <w:szCs w:val="20"/>
          <w:lang w:eastAsia="it-IT"/>
        </w:rPr>
        <w:pict>
          <v:rect id="Rectangle 13" o:spid="_x0000_s1040" style="position:absolute;left:0;text-align:left;margin-left:0;margin-top:0;width:11.35pt;height:11.35pt;z-index:251648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604458"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14" o:spid="_x0000_s1039" style="position:absolute;left:0;text-align:left;margin-left:0;margin-top:0;width:11.35pt;height:11.35pt;z-index:251649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553DC0">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604458"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17" o:spid="_x0000_s1038" style="position:absolute;left:0;text-align:left;margin-left:.9pt;margin-top:2.7pt;width:11.35pt;height:11.35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604458"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604458">
        <w:rPr>
          <w:rFonts w:ascii="Times New Roman" w:eastAsia="Times New Roman" w:hAnsi="Times New Roman"/>
          <w:noProof/>
          <w:sz w:val="20"/>
          <w:szCs w:val="20"/>
          <w:lang w:eastAsia="it-IT"/>
        </w:rPr>
        <w:pict>
          <v:rect id="Rectangle 15" o:spid="_x0000_s1037" style="position:absolute;left:0;text-align:left;margin-left:0;margin-top:19.8pt;width:11.35pt;height:11.35pt;z-index:-251666432;visibility:visible"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604458"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604458">
        <w:rPr>
          <w:rFonts w:ascii="Times New Roman" w:eastAsia="Times New Roman" w:hAnsi="Times New Roman"/>
          <w:noProof/>
          <w:sz w:val="20"/>
          <w:szCs w:val="20"/>
          <w:lang w:eastAsia="it-IT"/>
        </w:rPr>
        <w:pict>
          <v:rect id="Rectangle 16" o:spid="_x0000_s1036" style="position:absolute;left:0;text-align:left;margin-left:0;margin-top:17pt;width:11.35pt;height:11.35pt;z-index:-251665408;visibility:visible"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04458"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18" o:spid="_x0000_s1035" style="position:absolute;left:0;text-align:left;margin-left:0;margin-top:2.55pt;width:11.35pt;height:11.3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04458" w:rsidP="00BF3FE4">
      <w:pPr>
        <w:autoSpaceDE w:val="0"/>
        <w:autoSpaceDN w:val="0"/>
        <w:spacing w:after="0"/>
        <w:ind w:firstLine="570"/>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19" o:spid="_x0000_s1034" style="position:absolute;left:0;text-align:left;margin-left:.65pt;margin-top:1.75pt;width:11.35pt;height:11.35pt;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604458" w:rsidP="00BF3FE4">
      <w:pPr>
        <w:autoSpaceDE w:val="0"/>
        <w:autoSpaceDN w:val="0"/>
        <w:spacing w:after="0"/>
        <w:ind w:firstLine="708"/>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20" o:spid="_x0000_s1033" style="position:absolute;left:0;text-align:left;margin-left:0;margin-top:.95pt;width:11.35pt;height:11.3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04458" w:rsidP="00BF3FE4">
      <w:pPr>
        <w:autoSpaceDE w:val="0"/>
        <w:autoSpaceDN w:val="0"/>
        <w:spacing w:after="0"/>
        <w:ind w:firstLine="708"/>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21" o:spid="_x0000_s1032" style="position:absolute;left:0;text-align:left;margin-left:.3pt;margin-top:1.1pt;width:11.35pt;height:11.3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04458" w:rsidP="00BF3FE4">
      <w:pPr>
        <w:autoSpaceDE w:val="0"/>
        <w:autoSpaceDN w:val="0"/>
        <w:spacing w:after="0"/>
        <w:ind w:firstLine="708"/>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22" o:spid="_x0000_s1031" style="position:absolute;left:0;text-align:left;margin-left:.95pt;margin-top:2pt;width:11.35pt;height:11.3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OSZw8D7&#10;AAAA4QEAABMAAAAAAAAAAAAAAAAAAAAAAFtDb250ZW50X1R5cGVzXS54bWxQSwECLQAUAAYACAAA&#10;ACEAI7Jq4dcAAACUAQAACwAAAAAAAAAAAAAAAAAsAQAAX3JlbHMvLnJlbHNQSwECLQAUAAYACAAA&#10;ACEAq5P1ER0CAAA9BAAADgAAAAAAAAAAAAAAAAAsAgAAZHJzL2Uyb0RvYy54bWxQSwECLQAUAAYA&#10;CAAAACEAGcf5adoAAAAE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04458" w:rsidP="00BF3FE4">
      <w:pPr>
        <w:autoSpaceDE w:val="0"/>
        <w:autoSpaceDN w:val="0"/>
        <w:spacing w:after="0"/>
        <w:ind w:firstLine="708"/>
        <w:jc w:val="both"/>
        <w:rPr>
          <w:rFonts w:ascii="Times New Roman" w:eastAsia="Times New Roman" w:hAnsi="Times New Roman"/>
          <w:sz w:val="24"/>
          <w:szCs w:val="24"/>
          <w:lang w:eastAsia="it-IT"/>
        </w:rPr>
      </w:pPr>
      <w:r w:rsidRPr="00604458">
        <w:rPr>
          <w:rFonts w:ascii="Times New Roman" w:eastAsia="Times New Roman" w:hAnsi="Times New Roman"/>
          <w:noProof/>
          <w:sz w:val="20"/>
          <w:szCs w:val="20"/>
          <w:lang w:eastAsia="it-IT"/>
        </w:rPr>
        <w:pict>
          <v:rect id="Rectangle 23" o:spid="_x0000_s1030" style="position:absolute;left:0;text-align:left;margin-left:1.3pt;margin-top:.75pt;width:11.35pt;height:11.3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lastRenderedPageBreak/>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rsidR="00BF3FE4" w:rsidRPr="008A200A" w:rsidRDefault="00BF3FE4" w:rsidP="008D57BD">
      <w:pPr>
        <w:pStyle w:val="sche3"/>
        <w:numPr>
          <w:ilvl w:val="0"/>
          <w:numId w:val="6"/>
        </w:numPr>
        <w:rPr>
          <w:iCs/>
          <w:sz w:val="22"/>
          <w:szCs w:val="22"/>
          <w:lang w:val="it-IT"/>
        </w:rPr>
      </w:pPr>
      <w:r w:rsidRPr="008A200A">
        <w:rPr>
          <w:i/>
          <w:sz w:val="22"/>
          <w:szCs w:val="22"/>
          <w:lang w:val="it-IT"/>
        </w:rPr>
        <w:t xml:space="preserve">MOD 4 &lt;eventuale&gt; </w:t>
      </w:r>
      <w:r w:rsidRPr="008A200A">
        <w:rPr>
          <w:sz w:val="22"/>
          <w:szCs w:val="22"/>
          <w:lang w:val="it-IT"/>
        </w:rPr>
        <w:t>documentazione di avvalimento ai sensi dell’art. 89 del d. lgs 50/2016 e contratto di avvalimento, dichiarazioni sostitutive ex art. 89 co. 1 e co. 7 del Codice,</w:t>
      </w:r>
    </w:p>
    <w:p w:rsidR="00BF3FE4" w:rsidRPr="008A200A" w:rsidRDefault="00BF3FE4" w:rsidP="008D57BD">
      <w:pPr>
        <w:pStyle w:val="sche3"/>
        <w:numPr>
          <w:ilvl w:val="0"/>
          <w:numId w:val="6"/>
        </w:numPr>
        <w:rPr>
          <w:iCs/>
          <w:sz w:val="22"/>
          <w:szCs w:val="22"/>
          <w:lang w:val="it-IT"/>
        </w:rPr>
      </w:pPr>
      <w:r w:rsidRPr="008A200A">
        <w:rPr>
          <w:i/>
          <w:sz w:val="22"/>
          <w:szCs w:val="22"/>
          <w:lang w:val="it-IT"/>
        </w:rPr>
        <w:t>MOD 5 &lt;eventuale&gt;</w:t>
      </w:r>
      <w:r w:rsidRPr="008A200A">
        <w:rPr>
          <w:sz w:val="22"/>
          <w:szCs w:val="22"/>
          <w:lang w:val="it-IT"/>
        </w:rPr>
        <w:t xml:space="preserve"> mandato all'impresa capogruppo o impegno ex art. 48, comma 8 D. Lgs. 50/2016 (v. </w:t>
      </w:r>
      <w:r w:rsidR="00A8738C">
        <w:rPr>
          <w:sz w:val="22"/>
          <w:szCs w:val="22"/>
          <w:lang w:val="it-IT"/>
        </w:rPr>
        <w:t>pag. 14</w:t>
      </w:r>
      <w:r w:rsidRPr="008A200A">
        <w:rPr>
          <w:sz w:val="22"/>
          <w:szCs w:val="22"/>
          <w:lang w:val="it-IT"/>
        </w:rPr>
        <w:t xml:space="preserve"> disciplinare) come da MOD 5 ;</w:t>
      </w:r>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p w:rsidR="00152E3E" w:rsidRPr="00A8738C" w:rsidRDefault="00152E3E" w:rsidP="008D57BD">
      <w:pPr>
        <w:pStyle w:val="sche3"/>
        <w:ind w:left="720"/>
        <w:rPr>
          <w:sz w:val="22"/>
          <w:szCs w:val="22"/>
          <w:lang w:val="it-IT"/>
        </w:rPr>
      </w:pPr>
    </w:p>
    <w:sectPr w:rsidR="00152E3E"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3A" w:rsidRDefault="00E8063A" w:rsidP="00982B27">
      <w:pPr>
        <w:spacing w:after="0" w:line="240" w:lineRule="auto"/>
      </w:pPr>
      <w:r>
        <w:separator/>
      </w:r>
    </w:p>
  </w:endnote>
  <w:endnote w:type="continuationSeparator" w:id="0">
    <w:p w:rsidR="00E8063A" w:rsidRDefault="00E8063A"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Times New Roman"/>
    <w:charset w:val="00"/>
    <w:family w:val="auto"/>
    <w:pitch w:val="variable"/>
    <w:sig w:usb0="00000000" w:usb1="D000F1FB" w:usb2="00000028" w:usb3="00000000" w:csb0="000001D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604458">
        <w:pPr>
          <w:pStyle w:val="Pidipagina"/>
          <w:jc w:val="center"/>
        </w:pPr>
        <w:r>
          <w:fldChar w:fldCharType="begin"/>
        </w:r>
        <w:r w:rsidR="00F7602A">
          <w:instrText xml:space="preserve"> PAGE   \* MERGEFORMAT </w:instrText>
        </w:r>
        <w:r>
          <w:fldChar w:fldCharType="separate"/>
        </w:r>
        <w:r w:rsidR="00044024">
          <w:rPr>
            <w:noProof/>
          </w:rPr>
          <w:t>1</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3A" w:rsidRDefault="00E8063A" w:rsidP="00982B27">
      <w:pPr>
        <w:spacing w:after="0" w:line="240" w:lineRule="auto"/>
      </w:pPr>
      <w:r>
        <w:separator/>
      </w:r>
    </w:p>
  </w:footnote>
  <w:footnote w:type="continuationSeparator" w:id="0">
    <w:p w:rsidR="00E8063A" w:rsidRDefault="00E8063A"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284EB0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44024"/>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4458"/>
    <w:rsid w:val="00607EE1"/>
    <w:rsid w:val="00620771"/>
    <w:rsid w:val="00633F9E"/>
    <w:rsid w:val="00653C90"/>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629D4"/>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063A"/>
    <w:rsid w:val="00E83564"/>
    <w:rsid w:val="00E8609F"/>
    <w:rsid w:val="00E91D3D"/>
    <w:rsid w:val="00E9446F"/>
    <w:rsid w:val="00E95AB0"/>
    <w:rsid w:val="00EB51E0"/>
    <w:rsid w:val="00ED5C67"/>
    <w:rsid w:val="00EE03EC"/>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904848-8FC5-4730-819F-B49CA942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3521</Words>
  <Characters>20071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23545</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3</cp:revision>
  <dcterms:created xsi:type="dcterms:W3CDTF">2021-04-16T08:30:00Z</dcterms:created>
  <dcterms:modified xsi:type="dcterms:W3CDTF">2021-04-20T14:29:00Z</dcterms:modified>
</cp:coreProperties>
</file>